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antlr</w:t>
      </w:r>
      <w:r>
        <w:rPr>
          <w:rStyle w:val="a0"/>
          <w:rFonts w:ascii="Arial" w:hAnsi="Arial"/>
          <w:sz w:val="21"/>
        </w:rPr>
        <w:t xml:space="preserve"> </w:t>
      </w:r>
      <w:r>
        <w:rPr>
          <w:rStyle w:val="a0"/>
          <w:rFonts w:ascii="Arial" w:hAnsi="Arial"/>
          <w:sz w:val="21"/>
        </w:rPr>
        <w:t>2.7.7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copyright.html"</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The name of the author may not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The name of the author may not be used to endorse or promote products derived from this software without specific prior WRITTEN permission.</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in the help message.</w:t>
      </w:r>
    </w:p>
    <w:p>
      <w:pPr>
        <w:spacing w:line="420" w:lineRule="exact"/>
      </w:pPr>
      <w:r>
        <w:rPr>
          <w:rStyle w:val="a0"/>
          <w:rFonts w:ascii="Arial" w:hAnsi="Arial"/>
          <w:sz w:val="20"/>
        </w:rPr>
        <w:t xml:space="preserve">CopyrightText" value="" /&amp;gt; property name="CopyrightHref" value="" /&amp;gt; documenter&amp;gt; documenters&amp;gt; ndoc&amp;gt; copy file="${build.dir}/docs/MSDN/${project.FileName}.chm" todir="${dist.dir}"/&amp;gt; delete </w:t>
      </w:r>
      <w:r>
        <w:rPr>
          <w:rStyle w:val="a0"/>
          <w:rFonts w:ascii="Arial" w:hAnsi="Arial"/>
          <w:sz w:val="20"/>
        </w:rPr>
        <w:t>dir="${build.dir}/docs/MSDN" failonerror="false"/&amp;gt; --&amp;gt; target&amp;gt;</w:t>
      </w:r>
    </w:p>
    <w:p>
      <w:pPr>
        <w:spacing w:line="420" w:lineRule="exact"/>
      </w:pPr>
      <w:r>
        <w:rPr>
          <w:rStyle w:val="a0"/>
          <w:rFonts w:ascii="Arial" w:hAnsi="Arial"/>
          <w:sz w:val="20"/>
        </w:rPr>
        <w:t>CopyrightAttribute</w:t>
      </w:r>
    </w:p>
    <w:p>
      <w:pPr>
        <w:spacing w:line="420" w:lineRule="exact"/>
      </w:pPr>
      <w:r>
        <w:rPr>
          <w:rStyle w:val="a0"/>
          <w:rFonts w:ascii="Arial" w:hAnsi="Arial"/>
          <w:sz w:val="20"/>
        </w:rPr>
        <w:t>Copyright= LegalTrademarks= OriginalFilename= ProductName= ProductVersion=1.0.0.0 Comments=</w:t>
      </w:r>
    </w:p>
    <w:p>
      <w:pPr>
        <w:spacing w:line="420" w:lineRule="exact"/>
      </w:pPr>
      <w:r>
        <w:rPr>
          <w:rStyle w:val="a0"/>
          <w:rFonts w:ascii="Arial" w:hAnsi="Arial"/>
          <w:sz w:val="20"/>
        </w:rPr>
        <w:t>Copyright(xyz = (abc = 15*-2-4+7))]</w:t>
      </w:r>
    </w:p>
    <w:p>
      <w:pPr>
        <w:spacing w:line="420" w:lineRule="exact"/>
      </w:pPr>
      <w:r>
        <w:rPr>
          <w:rStyle w:val="a0"/>
          <w:rFonts w:ascii="Arial" w:hAnsi="Arial"/>
          <w:sz w:val="20"/>
        </w:rPr>
        <w:t>Copyright("")] assembly: AssemblyTrademark("")] assembly: AssemblyCulture("")]</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2002-2005 Kunle Odutola All rights reserved.</w:t>
      </w:r>
    </w:p>
    <w:p>
      <w:pPr>
        <w:spacing w:line="420" w:lineRule="exact"/>
      </w:pPr>
      <w:r>
        <w:rPr>
          <w:rStyle w:val="a0"/>
          <w:rFonts w:ascii="Arial" w:hAnsi="Arial"/>
          <w:sz w:val="20"/>
        </w:rPr>
        <w:t xml:space="preserve">Copyright (c) 1996 O'Reilly &amp;amp; Associates. You may study, use, modify, and distribute this example for any purpose. This example is provided WITHOUT WARRANTY either expressed or implied. */ public void copyFile(String source_name, String dest_name) throws IOException { File source_file = new File(source_name); File destination_file = new File(dest_name); Reader source = null; Writer destination = null; </w:t>
      </w:r>
      <w:r>
        <w:rPr>
          <w:rStyle w:val="a0"/>
          <w:rFonts w:ascii="Arial" w:hAnsi="Arial"/>
          <w:sz w:val="20"/>
        </w:rPr>
        <w:t>char[] buffer; int bytes_read;</w:t>
      </w:r>
    </w:p>
    <w:p>
      <w:pPr>
        <w:spacing w:line="420" w:lineRule="exact"/>
      </w:pPr>
      <w:r>
        <w:rPr>
          <w:rStyle w:val="a0"/>
          <w:rFonts w:ascii="Arial" w:hAnsi="Arial"/>
          <w:sz w:val="20"/>
        </w:rPr>
        <w:t>Copyright (c) 1995-1998 Sun Microsyst</w:t>
      </w:r>
      <w:r>
        <w:rPr>
          <w:rStyle w:val="a0"/>
          <w:rFonts w:ascii="Arial" w:hAnsi="Arial"/>
          <w:sz w:val="20"/>
        </w:rPr>
        <w:t>ems, Inc. All Rights Reserved.</w:t>
      </w:r>
    </w:p>
    <w:p>
      <w:pPr>
        <w:spacing w:line="420" w:lineRule="exact"/>
      </w:pPr>
      <w:r>
        <w:rPr>
          <w:rStyle w:val="a0"/>
          <w:rFonts w:ascii="Arial" w:hAnsi="Arial"/>
          <w:sz w:val="20"/>
        </w:rPr>
        <w:t>Copyright (</w:t>
      </w:r>
      <w:r>
        <w:rPr>
          <w:rStyle w:val="a0"/>
          <w:rFonts w:ascii="Arial" w:hAnsi="Arial"/>
          <w:sz w:val="20"/>
        </w:rPr>
        <w:t>C) Wolfgang Haefelinger, 2004.</w:t>
      </w:r>
    </w:p>
    <w:p>
      <w:pPr>
        <w:spacing w:line="420" w:lineRule="exact"/>
      </w:pPr>
      <w:r>
        <w:rPr>
          <w:rStyle w:val="a0"/>
          <w:rFonts w:ascii="Arial" w:hAnsi="Arial"/>
          <w:sz w:val="20"/>
        </w:rPr>
        <w:t>Copyright (C) Wolfgang Haefelinger, 2004.</w:t>
      </w:r>
    </w:p>
    <w:p>
      <w:pPr>
        <w:spacing w:line="420" w:lineRule="exact"/>
      </w:pPr>
      <w:r>
        <w:rPr>
          <w:rStyle w:val="a0"/>
          <w:rFonts w:ascii="Arial" w:hAnsi="Arial"/>
          <w:sz w:val="20"/>
        </w:rPr>
        <w:t>Copyright (C) Wolfgang Haefelinger, 2004 ##</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5&amp;gt;config.log cat &amp;gt;&amp;amp;5 &amp;lt;&amp;lt;_ACEOF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(C) 1999-2001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 you throw a parser exception from an action. &amp;lt;/p&amp;gt; p&amp;gt;In all cases, the recursive-descent functions on the call stack are exited until an exception handler is encountered for that exception type or one of its base classes (in non-object-oriented languages, the hierarchy of execption types is not implemented by a class hierarchy). Exception handlers arise in one of two ways. First, if you do nothing, ANTLR will generate a default exception handler for every parser rule. The default exception handler will report an error, sync to the follow set of the rule, and return from that rule. Second, you may specify your own exception handlers in a variety of ways, as described later. &amp;lt;/p&amp;gt; p&amp;gt;If you specify an exception handler for a rule, then the default exception handler is not generated for that rule. In addition, you may control the generation of default exception handlers with a &amp;lt;a href="options.html#defaultErrorHandler"&amp;gt;per-grammar or</w:t>
      </w:r>
    </w:p>
    <w:p>
      <w:pPr>
        <w:spacing w:line="420" w:lineRule="exact"/>
      </w:pPr>
      <w:r>
        <w:rPr>
          <w:rStyle w:val="a0"/>
          <w:rFonts w:ascii="Arial" w:hAnsi="Arial"/>
          <w:sz w:val="20"/>
        </w:rPr>
        <w:t>(c) there's no ${abs_top_build_dir}/lib/antlr.jar d) options --with-antlr-jar --with-antlr-cmd not applied or value given is not correct. You may resolve this problem by setting environment variable ANTLR_JAR.</w:t>
      </w:r>
    </w:p>
    <w:p>
      <w:pPr>
        <w:spacing w:line="420" w:lineRule="exact"/>
      </w:pPr>
      <w:r>
        <w:rPr>
          <w:rStyle w:val="a0"/>
          <w:rFonts w:ascii="Arial" w:hAnsi="Arial"/>
          <w:sz w:val="20"/>
        </w:rPr>
        <w:t>(C) Wolfgang Haefelinger/Marq Kole, 2004.</w:t>
      </w:r>
    </w:p>
    <w:p>
      <w:pPr>
        <w:spacing w:line="420" w:lineRule="exact"/>
      </w:pPr>
      <w:r>
        <w:rPr>
          <w:rStyle w:val="a0"/>
          <w:rFonts w:ascii="Arial" w:hAnsi="Arial"/>
          <w:sz w:val="20"/>
        </w:rPr>
        <w:t>(C) Wolfgang Haefelinger/Kunle Odutola, 2004.</w:t>
      </w:r>
    </w:p>
    <w:p>
      <w:pPr>
        <w:spacing w:line="420" w:lineRule="exact"/>
      </w:pPr>
      <w:r>
        <w:rPr>
          <w:rStyle w:val="a0"/>
          <w:rFonts w:ascii="Arial" w:hAnsi="Arial"/>
          <w:sz w:val="20"/>
        </w:rPr>
        <w:t>(C) Wolfgang Haefelinger, 2004.</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ANTLR-PD</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